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342</w:t>
      </w:r>
    </w:p>
    <w:p>
      <w:r>
        <w:t>Bundesgericht (BGE), 1966-12-09, DE</w:t>
      </w:r>
    </w:p>
    <w:p>
      <w:r>
        <w:rPr>
          <w:b/>
        </w:rPr>
        <w:t xml:space="preserve">Quelle: </w:t>
      </w:r>
      <w:r>
        <w:t>https://mcp.opencaselaw.ch/entscheid/bge_92 II 342</w:t>
      </w:r>
    </w:p>
    <w:p>
      <w:r>
        <w:t>FR: ATF 92 II 342</w:t>
      </w:r>
    </w:p>
    <w:p>
      <w:r>
        <w:t>IT: DTF 92 II 342</w:t>
      </w:r>
    </w:p>
    <w:p>
      <w:pPr>
        <w:pStyle w:val="Heading2"/>
      </w:pPr>
      <w:r>
        <w:t>Regeste</w:t>
      </w:r>
    </w:p>
    <w:p>
      <w:r>
        <w:t>Regeste Versicherung auf fremdes Leben. Anzeigepflicht beim Vertragsabschluss. Verletzung dieser Pflicht. Art. 4, 6 und 74 Abs. 3 VVG. 1. Form der Vereinbarung, wonach die Verletzung der Anzeigepflicht durch die Person, auf deren Leben die Versicherung abgeschlossen wurde, dem Versicherungsnehmer entgegengehalten werden kann und dem Versicherer den Rücktritt vom Vertrag erlaubt (Erw. 1a). Auslegung der Bestimmungen des Versicherungsantrages nach den Regeln von Treu und Glauben und nach dem sog. Vertrauensprinzip (Erw. 1 b und c). 2. Tragweite der Verletzung der Anzeigepflicht, welche die zu versichernde Person bei der Beantwortung der schriftlichen Fragen begangen hat, die nicht im Versicherungsantrag selbst, sondern in dem davon getrennten gedruckten Formular für den Bericht über die ärztliche Untersuchung stehen (Erw. 2). 3. Fall der Verletzung der Anzeigepflicht durch die zu versichernde Person mit Bezug auf ihren Gesundheitszustand (Erw. 3). 4. Im Sinne von Art. 4 VVG sind alle Tatsachen erheblich, die geeignet sind, die Beurteilung der Gefahr durch den Versicherer zu beeinflussen. Es kommt nicht darauf an, ob diese Tatsachen mit dem Schaden, z.B. mit dem Tode des Versicherten, in ursächlichem Zusammenhang stehen (Erw. 4). Dem Anspruchsberechtigten bleibt der Nachweis offen, dass der Versicherer, wenn ihm die von der zu versichernden Person verschwiegenen oder ungenau oder unvollständig angezeigten Tatsachen bekannt gewesen wären, den Vertrag gleichwohl zu den vereinbarten Bedingungen abgeschlossen hätte. Wann ist dieser Beweis geleistet? (Erw. 5). 5. Wirkungen der Auflösung des Vertrages durch den Versicherer, wenn die Versicherung keinen Rückkaufswert hat (Erw. 6).</w:t>
      </w:r>
    </w:p>
    <w:p>
      <w:pPr>
        <w:pStyle w:val="Heading2"/>
      </w:pPr>
      <w:r>
        <w:t>Erwägungen</w:t>
      </w:r>
    </w:p>
    <w:p>
      <w:r>
        <w:rPr>
          <w:b/>
        </w:rPr>
        <w:t>E. 1</w:t>
      </w:r>
    </w:p>
    <w:p>
      <w:r>
        <w:t>a) L'art. 4 LCA oblige le proposant à déclarer par écrit à l'assureur, en réponse aux questions écrites de celui-ci, tous les faits qu'il connaît ou doit connaître lors de la conclusion du contrat et qui sont de nature à influer sur la décision de l'assureur de conclure le contrat ou de le conclure aux conditions proposées. Selon l'art. 6 LCA, si la personne tenue de faire une pareille déclaration a passé sous silence ou déclaré inexactement un fait important visé par l'art. 4, cette réticence autorise l'assureur à se départir du contrat dans les quatre semaines à partir du moment où il en a eu connaissance. Cette disposition ne peut pas être modifiée par convention au détriment du preneur d'assurance ou de l'ayant droit (art. 98 LCA). L'assurance au décès d'autrui n'est valable que si la personne sur la tête de qui l'assurance est conclue a donné son consentement par écrit avant la conclusion du contrat (art. 74 al. 1 LCA). Les parties sont libres de convenir que la disposition de BGE 92 II 342 S. 347 l'art. 6 LCA s'appliquera également lorsque la réticence a été commise non par le preneur d'assurance, mais par celui sur la tête de qui l'assurance au décès est faite (art. 74 al. 3 LCA). La loi ne prescrit aucune forme spéciale pour cette convention facultative. Elle n'exige pas une référence expresse à l'art. 6 LCA - qui aurait le mérite de dissiper toute équivoque - ni même le rappel du droit, que la réticence confère à l'assureur, de se départir du contrat. Il suffit que la formule de proposition d'assurance ou le questionnaire écrit de l'assureur, ou encore les conditions générales d'assurance renferment une clause disposant que le preneur répond de l'exactitude des déclarations faites par l'assuré (ROELLI-JAEGER, n. 31 ad. art. 74 LCA). En apposant sa signature au pied de la proposition, le preneur accepte cette clause et la convention visée à l'art. 74 al. 3 LCA est ainsi conclue. b) En l'espèce, ni la police ni les conditions générales ne contiennent de disposition prévoyant que les réticences de la personne sur la tête de laquelle l'assurance au décès est faite sont opposables au preneur et que l'assureur peut se départir du contrat pour de telles réticences. La proposition d'assurance, en revanche, porte en tête la mention, qualifiée d'importante: "Il doit être donné une réponse véridique et complète à chacune des questions suivantes, sans employer des traits ou autres signes à la place de mots. Le proposant est responsable des réponses fausses ou incomplètes, même si un représentant de La Bâloise ou une autre personne inscrit les réponses des signataires ...". Au pied du questionnaire auquel la personne à assurer doit répondre figure la mention: "La personne à assurer déclare avoir répondu d'une façon véridique et complète aux questions ci-devant. En cas de fausses déclarations les obligations de La Bâloise se bornent au paiement de la valeur de rachat". Les Minoteries de Plainpalais ont accepté ces clauses en apposant leur signature sur le document, en leur qualité de proposant. La recourante affirme qu'en souscrivant ces clauses, les parties sont convenues, au sens de l'art. 74 al. 3 LCA, que l'art. 6 LCA s'appliquerait aussi si X., sur la tête de qui l'assurance était conclue, avait commis une réticence. L'intimée le conteste. c) L'interprétation objective des déclarations de volonté faites par les parties lors de la conclusion d'une convention régie par le droit fédéral - comme le contrat d'assurance - est BGE 92 II 342 S. 348 une question de droit que le Tribunal fédéral revoit librement, en vertu de l'art. 43 OJ (cf. RO 87 II 94 et les arrêts cités: RO 83 II 403, 77 III 3, 77 II 173, 69 II 319 ss.). La jurisprudence interprète les déclarations de volonté à l'aide du principe dit de la confiance. Elle s'efforce de rétablir le sens que, selon les règles de la bonne foi, chacune des parties contractantes pouvait raisonnablement prêter aux déclarations de l'autre (RO 87 II 95, 82 II 453, 81 II 363, 80 II 31 s., 69 II 322). Elle a déduit du principe dit de la confiance qu'en matière de contrats conclus sur la base d'une formule préparée d'avance par l'un des contractants, les clauses peu claires doivent être interprétées contre la partie qui les a rédigées. Cette régle s'applique en particulier au contrat d'assurance: lorsqu'une disposition conventionnelle rédigée par l'assureur ne dit pas clairement ce qu'elle vise et que l'on peut de bonne foi la comprendre de différentes façons, elle doit être interprétée en faveur du bénéficiaire et au détriment de l'assureur (RO 87 II 95 s., 85 II 350, 82 II 452, 81 II 159, 50 II 543, 48 II 246, 45 II 456, 40 II 552 s.). La première phrase de la clause imprimée en tête de la formule préparée par la recourante oblige le preneur ou la personne à assurer à répondre d'une manière véridique et complète aux questions écrites de l'assureur. Elle ne précise pas les conséquences d'une réponse inexacte. La seconde phrase déclare le proposant responsable des réponses fausses ou incomplètes, même si un représentant de La Bâloise ou une autre personne inscrit les réponses des signataires au questionnaire. Cette mention devait être comprise raisonnablement par l'intimée en ce sens que les réponses transcrites par un tiers sur la formule imprimée font pleinement foi à l'égard des signataires, lesquels ne sauraient prétendre que leurs déclarations n'ont pas été reproduites exactement. Dans la clause figurant au pied du questionnaire, la première phrase signifie qu'en signant la proposition d'assurance, la personne à assurer certifie qu'elle a répondu de façon véridique et complète aux questions qui précèdent. La seconde phrase énonce la sanction contractuelle en cas de fausses déclarations de la personne à assurer. Les obligations de La Bâloise se bornent alors au paiement de la valeur de rachat. Acceptée par l'intimée qui a signé la proposition, cette clause signifie - sans le dire expressément - que les réticences de la personne à BGE 92 II 342 S. 349 assurer permettent à l'assureur de se départir du contrat en vertu de l'art. 6 LCA. Les obligations de l'assureur se limitent alors au paiement de la valeur de rachat, selon la prescription de l'art. 25 al. 4 LCA, qui se réfère à l'art. 90 al. 2 LCA. Il est vrai que la clause en question ne dit rien des effets de la réticence de la personne à assurer lorsque l'assurance n'a pas de valeur de rachat. Mais il s'agit des conséquences de la résolution du contrat par l'assureur, non du droit de se départir du contrat. S'il n'y a pas de valeur de rachat, on s'en tient à la règle posée à l'art. 6 LCA, selon laquelle l'assureur qui a résolu le contrat dans les quatre semaines à partir du moment où il a eu connaissance de la réticence n'est pas lié par ce contrat. Il ne doit alors aucune prestation. Interprétée objectivement, selon les règles de la bonne foi, la clause relative aux conséquences de fausses déclarations de la personne à assurer ne peut signifier qu'une chose: une pareille réticence est opposable au preneur d'assurance et permet à l'assureur de se départir du contrat en vertu de l'art. 6 LCA. Dépourvue d'ambiguïté, elle ne saurait être interprétée contre la partie qui l'a rédigée. Elle constitue dès lors la convention prévue à l'art. 74 al. 3 LCA.</w:t>
      </w:r>
    </w:p>
    <w:p>
      <w:r>
        <w:rPr>
          <w:b/>
        </w:rPr>
        <w:t>E. 2</w:t>
      </w:r>
    </w:p>
    <w:p>
      <w:r>
        <w:t>La Cour de justice limite cependant le droit de l'assureur de résoudre le contrat aux seules réticences que la personne à assurer aurait commises en répondant aux questions énoncées dans la proposition d'assurance elle-même. Les juges cantonaux en excluent les réponses données lors de l'examen médical, transcrites sur un document distinct par le médecin délégué de l'assureur. Mais leur opinion repose sur une interprétation purement grammaticale des textes, qui ne saurait être admise. Les termes "questions suivantes" et "questions ci-devant" qui figurent dans la proposition se rapportent certes, en premier lieu, aux questions écrites énoncées dans ce document. Lorsque l'assurance est conclue sans examen médical, toutes les réponses de la personne à assurer sont en effet transcrites dans la proposition elle-même. En revanche, lorsqu'un examen médical est prévu, la personne à assurer ne répond pas aux questions 13 à 22 de la proposition, qui sont remplacées par les questions posées dans le rapport du médecin examinateur, lequel inscrit les réponses au moment où il examine la personne à assurer. Dans l'un et l'autre cas, les questions concernent les déclarations que la personne à assurer doit faire sur des points relatifs à son état BGE 92 II 342 S. 350 de santé. L'examen médical est prévu pour les assurances sur la vie d'une certaine importance; il en est fait abstraction lorsque les prestations de l'assureur sont relativement modiques (cf. KOENIG, Schweizerisches Privatversicherungsrecht, 2e éd., p. 62 et 335). Dès lors, si les réticences de la personne à assurer sur des questions concernant son état de santé sont opposables au preneur lorsqu'elles sont commises dans les réponses transcrites sur une proposition d'assurance sans examen médical, elles doivent l'être à plus forte raison lorsque l'examen médical est requis par l'assureur et que les réponses inexactes de la personne à assurer sont faites au médecin délégué qui procède à cet examen. Peu importe à cet égard que l'examen médical soit postérieur à la signature de la proposition d'assurance (en l'espèce, celle-ci a eu lieu le 8 décembre 1958, celui-là le 10 décembre). C'est précisément parce qu'un examen médical ultérieur est prévu que la personne à assurer est dispensée de répondre aux questions de la proposition relatives à son état de santé. Dans une cause où le proposant était lui-même assuré, le Tribunal fédéral a jugé que son obligation de déclarer d'une façon véridique les faits importants qui lui étaient ou devaient lui être connus lors de la conclusion du contrat n'était pas limitée aux questions posées dans la formule de proposition; la loi exige seulement que les questions soient posées par écrit et n'empêche pas de les grouper en deux catégories, les unes touchant l'assurance et figurant dans la proposition elle-même, les autres, de nature médicale par exemple, dans un questionnaire distinct (RO 47 II 481). La même solution doit être adoptée lorsque, comme en l'espèce, le proposant et celui sur la tête de qui l'assurance est conclue sont deux personnes différentes et qu'il incombe à la seconde de faire des déclarations exactes et complètes en réponse aux questions écrites de l'assureur.</w:t>
      </w:r>
    </w:p>
    <w:p>
      <w:r>
        <w:rPr>
          <w:b/>
        </w:rPr>
        <w:t>E. 3</w:t>
      </w:r>
    </w:p>
    <w:p>
      <w:r>
        <w:t>(Résumé). Il résulte des faits constatés par la juridiction cantonale que X. a commis des réticences en répondant aux questions écrites de la formule d'examen médical concernant son état de santé, ses maladies antérieures, les traitements qu'il avait suivis et les médecins qu'il avait consultés. Invité à dire s'il se considérait comme étant en parfaite santé, X. a répondu par l'affirmative. Il avait certes recueilli des déclarations rassurantes de la part des médecins qui l'avaient soigné ou examiné dans les mois ou les semaines qui précédaient BGE 92 II 342 S. 351 la signature de la proposition d'assurance et l'examen médical. Il n'en avait pas moins consulté, en novembre 1958, le Dr K. pour des douleurs intestinales et de la constipation; un transit baryté avait alors confirmé l'existence d'une appendicite chronique dont l'opération, à la vérité non pressante, avait été envisagée. S'il avait répondu d'une façon exacte et complète aux autres questions, sa réponse affirmative sur ce point pourrait être regardée comme véridique en ce sens qu'il se considérait comme étant en parfaite santé sous réserve des autres renseignements fournis (cf. RO 75 II 162, consid. 1). Mais il a précisément tu ou déclaré inexactement des faits importants touchant son état de santé, qu'il était obligé de déclarer. Au médecin délégué de La Bâloise qui lui demandait s'il souffrait ou avait souffert, notamment, de crampes d'estomac ou des intestins, de troubles digestifs habituels ou fréquents, d'appendicite ou d'autres maladies du tube digestif, X. a répondu purement et simplement par la négative. Il avait cependant consulté, en 1952, 1955 et 1958 les Dr D., H., R. et K. pour des douleurs épigastriques, des troubles digestifs avec douleurs de tout le cadre colique et de l'estomac, de la constipation accompagnée de douleurs de l'abdomen dans la région du côlon; en outre, le Dr K. avait diagnostiqué d'une manière certaine, sur la base d'une radiographie, une appendicite chronique, un mois environ avant la signature de la proposition d'assurance et l'examen médical. Assurément, des consultations médicales provoquées par des troubles isolés de la santé, comme cela peut arriver occasionnellement à chacun, ne constituent pas des faits importants même si leurs dénominations médicales figurent dans le questionnaire de l'assureur (cf. RO 75 II 163, 72 II 130). Toutefois, X. ne pouvait pas taire, en décembre 1958, les troubles gastriques et intestinaux dont il avait souffert à plusieurs reprises au cours des années précédentes et qu'il ressentait encore quelques semaines avant l'examen médical. Surtout, il ne pouvait passer sous silence l'appendicite chronique diagnostiquée à mi-novembre 1958 et dont l'opération éventuelle avait été évoquée, sans qu'elle fût certes pressante ni ne s'imposât impérieusement. Comme dernier médecin qui l'avait conseillé ou soigné, X. a indiqué le Dr R. qu'il avait consulté plusieurs mois auparavant et il a tu qu'il avait été examiné quelques semaines plus tôt par BGE 92 II 342 S. 352 le Dr K., lequel avait diagnostiqué l'appendicite chronique déjà mentionnée.</w:t>
      </w:r>
    </w:p>
    <w:p>
      <w:r>
        <w:rPr>
          <w:b/>
        </w:rPr>
        <w:t>E. 4</w:t>
      </w:r>
    </w:p>
    <w:p>
      <w:r>
        <w:t>Selon la jurisprudence (RO 47 II 482), l'importance des faits qui doivent être déclarés ne dépend pas de leur rapport de cause à effet avec le dommage, en l'espèce le décès de X. L'art. 4 al. 2 LCA qualifie d'importants "tous les faits de nature à influer sur la détermination de l'assureur de conclure le contrat ou de le conclure aux conditions convenues". En d'autres termes, est importante toute circonstance propre à influer sur l'appréciation du risque et à le faire apparaître plus grand aux yeux de l'assureur, sans qu'il importe que le fait tu ou faussement déclaré ait par la suite joué un rôle effectif dans la survenance du dommage (arrêt cité). On peut dès lors se dispenser d'examiner s'il y a en l'espèce un rapport de causalité entre les faits importants tus par X. et son décès. La juridiction cantonale relève d'ailleurs que l'assuré est mort des complications qui se sont produites à la suite de l'opération de l'appendicite dont le Dr K. lui avait parlé; selon l'avis des experts dont l'arrêt déféré fait état, il est très probable que l'ablation du diverticule de Meckel (qu'il est usuel d'enlever lorsque l'on en constate l'existence au cours d'une intervention) est responsable de l'occlusion qui a entraîné la mort.</w:t>
      </w:r>
    </w:p>
    <w:p>
      <w:r>
        <w:rPr>
          <w:b/>
        </w:rPr>
        <w:t>E. 5</w:t>
      </w:r>
    </w:p>
    <w:p>
      <w:r>
        <w:t>La réticence de la personne sur la tête de qui l'assurance a été conclue autorisait la recourante à résoudre le contrat, à moins qu'il ne soit établi qu'elle aurait néanmoins conclu la convention aux conditions prévues, même si elle avait connu les faits tus par X. (RO 75 II 163 et 165). La juridiction cantonale estime que si l'assuré avait répondu comme il aurait dû le faire à toutes les questions posées lors de l'examen médical, la Bâloise n'aurait pas refusé de conclure l'assurance en cause. Elle déclare préférer aux indications données par plusieurs assureurs intéressés à la solution du litige, l'appréciation des experts judiciaires qui n'ont jamais vu, en matière d'assurancevie, d'exemple où une appendicite chronique aurait provoqué un refus de l'assureur ou même une élévation des primes. L'opinion exprimée par les experts est cependant toute générale. On ne saurait en déduire avec certitude qu'en l'espèce, La Bâloise aurait réellement conclu le contrat si elle avait connu les faits tus par X. La Cour de justice n'a pas constaté en fait une pareille volonté de la recourante. Elle a fait un raisonnement fondé sur l'expérience générale, en vue de dégager la volonté BGE 92 II 342 S. 353 hypothétique des parties au contrat. Saisi d'un recours en réforme, le Tribunal fédéral peut revoir les déductions que les juges cantonaux ont tirées de l'expérience générale. Or l'avis des experts, tel qu'il est rapporté dans l'arrêt attaqué, ne permet pas de tenir pour établi que le contrat aurait été conclu aux conditions prévues, si l'assureur avait connu les faits que la personne à assurer a passés sous silence. La Bâloise était donc en droit de se départir du contrat, en raison des réticences commises par X.</w:t>
      </w:r>
    </w:p>
    <w:p>
      <w:r>
        <w:rPr>
          <w:b/>
        </w:rPr>
        <w:t>E. 6</w:t>
      </w:r>
    </w:p>
    <w:p>
      <w:r>
        <w:t>Il n'est pas contesté que la recourante a respecté le délai de quatre semaines fixé à l'art. 6 LCA pour se départir du contrat. En vertu de l'art. 25 al. 4 LCA, l'assureur qui résilie un contrat d'assurance sur la vie susceptible de rachat selon l'art. 90 al. 2 LCA doit la prestation minimum prescrite pour le rachat. L'obligation du rachat instituée par cette dernière disposition ne vise toutefois que les assurances sur la vie pour lesquelles il est certain que l'événement assuré se réalisera. Ce n'est pas le cas de l'assurance temporaire en cas de décès, dans laquelle il est incertain que la personne sur la tête de qui l'assurance est faite décédera avant le terme convenu (cf. ROELLI/JAEGER, n. 43 ad art. 90 LCA; KOENIG, op.cit., p. 354). Le contrat conclu en l'espèce prévoyait le paiement d'une somme initiale de 45 000 fr., décroissant de 3000 fr. chaque année, si X. décédait entre le 15 décembre 1958 et le 15 décembre 1973. Une pareille assurance n'a pas de valeur de rachat, comme le rappelle la lettre de la recourante à l'intimée du 11 mars 1959. La Bâloise ne doit dès lors aucune prestation aux Minoteries de Plainpalais et la demande est mal fondée. Dispositiv Par ces motifs, le Tribunal fédéral: Admet le recours et réforme l'arrêt rendu le 20 mai 1966 par la Première Chambre de la Cour de justice du canton de Genève en ce sens que la demande de l'intimée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